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E56" w:rsidRDefault="007C057C" w:rsidP="00BD63E9">
      <w:pPr>
        <w:shd w:val="clear" w:color="auto" w:fill="FFFFFF"/>
        <w:spacing w:before="270" w:after="150" w:line="359" w:lineRule="atLeast"/>
        <w:jc w:val="both"/>
        <w:outlineLvl w:val="2"/>
        <w:rPr>
          <w:rFonts w:ascii="Cambria" w:eastAsia="Times New Roman" w:hAnsi="Cambria" w:cs="Cambria"/>
          <w:b/>
          <w:bCs/>
          <w:color w:val="27335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B5F08B" wp14:editId="3E3D34B2">
            <wp:extent cx="5940425" cy="3591692"/>
            <wp:effectExtent l="0" t="0" r="3175" b="8890"/>
            <wp:docPr id="2" name="Рисунок 2" descr="https://fs.znanio.ru/d5af0e/ee/45/f151d540f63c4008abb127f94f1c1ed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ee/45/f151d540f63c4008abb127f94f1c1ed7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56" w:rsidRPr="003C70DD" w:rsidRDefault="007E4E56" w:rsidP="003C70DD">
      <w:pPr>
        <w:shd w:val="clear" w:color="auto" w:fill="FFFFFF"/>
        <w:spacing w:before="270" w:after="150" w:line="359" w:lineRule="atLeast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Что необходимо знать</w:t>
      </w:r>
      <w:r w:rsidR="006F5C1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3C70D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каждому  о функциональной грамотности</w:t>
      </w:r>
    </w:p>
    <w:p w:rsidR="00BD63E9" w:rsidRPr="003C70DD" w:rsidRDefault="00BD63E9" w:rsidP="00BD63E9">
      <w:pPr>
        <w:shd w:val="clear" w:color="auto" w:fill="FFFFFF"/>
        <w:spacing w:before="270" w:after="150" w:line="359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>Функциональная грамотность 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</w:p>
    <w:p w:rsidR="00BD63E9" w:rsidRPr="003C70DD" w:rsidRDefault="00BD63E9" w:rsidP="00BD63E9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1. Читательская грамотность.</w:t>
      </w:r>
    </w:p>
    <w:p w:rsidR="00BD63E9" w:rsidRPr="003C70DD" w:rsidRDefault="00BD63E9" w:rsidP="00BD63E9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2. Математическая грамотность.</w:t>
      </w:r>
    </w:p>
    <w:p w:rsidR="00BD63E9" w:rsidRPr="003C70DD" w:rsidRDefault="00BD63E9" w:rsidP="00BD63E9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3. Естественно-научная грамотность</w:t>
      </w:r>
    </w:p>
    <w:p w:rsidR="00BD63E9" w:rsidRPr="003C70DD" w:rsidRDefault="00BD63E9" w:rsidP="00BD63E9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4. Финансовая грамотность</w:t>
      </w:r>
    </w:p>
    <w:p w:rsidR="00BD63E9" w:rsidRPr="003C70DD" w:rsidRDefault="00BD63E9" w:rsidP="00BD63E9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5. Креативное мышление</w:t>
      </w:r>
    </w:p>
    <w:p w:rsidR="00BD63E9" w:rsidRPr="003C70DD" w:rsidRDefault="00BD63E9" w:rsidP="00BD63E9">
      <w:pPr>
        <w:shd w:val="clear" w:color="auto" w:fill="FFFFFF"/>
        <w:spacing w:before="270" w:after="150" w:line="359" w:lineRule="atLeast"/>
        <w:jc w:val="both"/>
        <w:outlineLvl w:val="2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6. Глобальные компетенции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В качестве основных составляющих функциональной грамотности выделены: математическая, читательская, естественнонаучная, финансовая грамотности, глобальные компетенции и креативное мышление. Главной характеристикой каждой составляющей является способность действовать и взаимодействовать с окружающим миром, решая при этом разнообразные задачи.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Читательская грамотность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− способность человека понимать, использовать, оценивать тексты, размышлять о них и заниматься чтением для того, чтобы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lastRenderedPageBreak/>
        <w:t>достигать своих целей, расширять свои знания и возможности, участвовать в социальной жизни.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Математическая грамотность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Естественнонаучная грамотность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отражает способность человека применять естественнонаучные знания и умения в реальных жизненных ситуациях, в том числе в случаях обсуждения общественно значимых вопросов, связанных с практическими применениями достижений естественных наук.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Финансовая грамотность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понимается как способность личности принимать разумные, целесообразные решения, связанные с финансами, в различных ситуациях собственной жизнедеятельности.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Глобальная компетентность </w:t>
      </w: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рассматривается как «многомерная» цель обучения на протяжении всей жизни. Глобально компетентная личность — человек, который способен воспринимать местные и глобальные проблемы и вопросы межкультурного взаимодействия, понимать и оценивать различные точки зрения и мировоззрения, успешно и уважительно взаимодействовать с другими людьми, а также ответственно действовать для обеспечения устойчивого развития и коллективного благополучия.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Под креативным мышлением понимают способность к продуктивному творческому подходу.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Функциональная грамотность проявляется в решении проблемных задач, выходящих за пределы учебных ситуаций, и не похожих на те задачи, в ходе которых приобретались и отрабатывались знания и умения.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Чтобы оценить уровень функциональной грамотности своих учеников, учителю нужно дать обучающимся нетипичные задания, в которых предлагается рассмотреть некоторые проблемы из реальной жизни.</w:t>
      </w:r>
    </w:p>
    <w:p w:rsidR="007E4E56" w:rsidRPr="003C70DD" w:rsidRDefault="007E4E56" w:rsidP="007E4E56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Наличие контекста является важным условием задания на формирование и оценку функциональной грамотности. Контекст задания – это особенности и элементы окружающей обстановки, представленные в задании в рамках предлагаемой ситуации. Эти ситуации связаны с разнообразными аспектами окружающей жизни.</w:t>
      </w:r>
    </w:p>
    <w:p w:rsidR="003C70DD" w:rsidRPr="00943A69" w:rsidRDefault="007E4E56" w:rsidP="00943A69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Повышение уровня функциональной грамотности школьников может быть обеспечена успешной реализацией ФГОС, т.е. за счет достижения планируемых предметных, </w:t>
      </w:r>
      <w:proofErr w:type="spellStart"/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метапредметных</w:t>
      </w:r>
      <w:proofErr w:type="spellEnd"/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и личностных результатов, если в учебном процессе реализован комплексный системно-</w:t>
      </w:r>
      <w:proofErr w:type="spellStart"/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деятельностный</w:t>
      </w:r>
      <w:proofErr w:type="spellEnd"/>
      <w:r w:rsidRPr="003C70DD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подход, если процесс обучения идет как процесс решения обучающимися различных классов учебно-познавательных и учебно-практических задач, задач на применение или перенос тех знаний и тех умений, которые учитель формирует.</w:t>
      </w:r>
    </w:p>
    <w:p w:rsidR="007E4E56" w:rsidRPr="003C70DD" w:rsidRDefault="007E4E56" w:rsidP="007E4E56">
      <w:pPr>
        <w:shd w:val="clear" w:color="auto" w:fill="FFFFFF"/>
        <w:spacing w:before="270" w:after="150" w:line="359" w:lineRule="atLeast"/>
        <w:outlineLvl w:val="2"/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</w:pP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Памятки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и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пособия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для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учащихся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и</w:t>
      </w:r>
      <w:r w:rsidRPr="003C70DD">
        <w:rPr>
          <w:rFonts w:ascii="Montserrat" w:eastAsia="Times New Roman" w:hAnsi="Montserrat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Pr="003C70DD">
        <w:rPr>
          <w:rFonts w:ascii="Cambria" w:eastAsia="Times New Roman" w:hAnsi="Cambria" w:cs="Cambria"/>
          <w:b/>
          <w:bCs/>
          <w:color w:val="FF0000"/>
          <w:sz w:val="27"/>
          <w:szCs w:val="27"/>
          <w:lang w:eastAsia="ru-RU"/>
        </w:rPr>
        <w:t>родителей</w:t>
      </w:r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6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Читательская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отность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7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Математическая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8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Финансовая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9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Естественно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-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научная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0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Глобальные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компетенции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1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Что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значит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быть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грамотным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XXI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веке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2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Что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нужно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знать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родителям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3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Как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развивать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функциональную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.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Рекомендации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для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родителей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4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Профилактика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proofErr w:type="spellStart"/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буллинга</w:t>
        </w:r>
        <w:proofErr w:type="spellEnd"/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детском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коллективе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5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Как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стать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жертвой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почему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стоит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нападать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на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других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6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Что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делать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если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ваш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ребенок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вовлечен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?</w:t>
        </w:r>
      </w:hyperlink>
    </w:p>
    <w:p w:rsidR="007E4E56" w:rsidRPr="00BD63E9" w:rsidRDefault="007E4E56" w:rsidP="007E4E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BD63E9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</w:t>
      </w:r>
      <w:hyperlink r:id="rId17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Руководство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противодействию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профилактике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proofErr w:type="spellStart"/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буллинг</w:t>
        </w:r>
      </w:hyperlink>
      <w:r w:rsidRPr="00BD63E9">
        <w:rPr>
          <w:rFonts w:ascii="Cambria" w:eastAsia="Times New Roman" w:hAnsi="Cambria" w:cs="Cambria"/>
          <w:color w:val="273350"/>
          <w:sz w:val="24"/>
          <w:szCs w:val="24"/>
          <w:lang w:eastAsia="ru-RU"/>
        </w:rPr>
        <w:t>а</w:t>
      </w:r>
      <w:proofErr w:type="spellEnd"/>
    </w:p>
    <w:p w:rsidR="007E4E56" w:rsidRPr="007E4E56" w:rsidRDefault="007E4E56" w:rsidP="007E4E56">
      <w:pPr>
        <w:shd w:val="clear" w:color="auto" w:fill="FFFFFF"/>
        <w:spacing w:before="270" w:after="330" w:line="359" w:lineRule="atLeast"/>
        <w:outlineLvl w:val="2"/>
        <w:rPr>
          <w:rFonts w:eastAsia="Times New Roman" w:cs="Times New Roman"/>
          <w:b/>
          <w:bCs/>
          <w:color w:val="273350"/>
          <w:sz w:val="27"/>
          <w:szCs w:val="27"/>
          <w:lang w:eastAsia="ru-RU"/>
        </w:rPr>
      </w:pPr>
      <w:r w:rsidRPr="00BD63E9">
        <w:rPr>
          <w:rFonts w:ascii="Cambria" w:eastAsia="Times New Roman" w:hAnsi="Cambria" w:cs="Cambria"/>
          <w:b/>
          <w:bCs/>
          <w:color w:val="273350"/>
          <w:sz w:val="27"/>
          <w:szCs w:val="27"/>
          <w:lang w:eastAsia="ru-RU"/>
        </w:rPr>
        <w:t>Полезные</w:t>
      </w:r>
      <w:r w:rsidRPr="00BD63E9">
        <w:rPr>
          <w:rFonts w:ascii="Montserrat" w:eastAsia="Times New Roman" w:hAnsi="Montserrat" w:cs="Times New Roman"/>
          <w:b/>
          <w:bCs/>
          <w:color w:val="273350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b/>
          <w:bCs/>
          <w:color w:val="273350"/>
          <w:sz w:val="27"/>
          <w:szCs w:val="27"/>
          <w:lang w:eastAsia="ru-RU"/>
        </w:rPr>
        <w:t>ссылки</w:t>
      </w:r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18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Демонстрационные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материалы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ФГБНУ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MV Boli" w:eastAsia="Times New Roman" w:hAnsi="MV Boli" w:cs="MV Boli"/>
            <w:color w:val="306AFD"/>
            <w:sz w:val="24"/>
            <w:szCs w:val="24"/>
            <w:lang w:eastAsia="ru-RU"/>
          </w:rPr>
          <w:t>«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Институт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стратегии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развития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образования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Российской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академии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образования</w:t>
        </w:r>
        <w:r w:rsidRPr="00BD63E9">
          <w:rPr>
            <w:rFonts w:ascii="MV Boli" w:eastAsia="Times New Roman" w:hAnsi="MV Boli" w:cs="MV Boli"/>
            <w:color w:val="306AFD"/>
            <w:sz w:val="24"/>
            <w:szCs w:val="24"/>
            <w:lang w:eastAsia="ru-RU"/>
          </w:rPr>
          <w:t>»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19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: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развиваем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школе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0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Электронный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банк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заданий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1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Проведение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исследования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PISA-2018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в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России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2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Международные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исследования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3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Функциональная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грамотность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4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Лаборатория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грамотности</w:t>
        </w:r>
      </w:hyperlink>
    </w:p>
    <w:p w:rsidR="007E4E56" w:rsidRPr="00BD63E9" w:rsidRDefault="007E4E56" w:rsidP="007E4E56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hyperlink r:id="rId25" w:history="1"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Банк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заданий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по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функциональной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грамотности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ФГБНУ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MV Boli" w:eastAsia="Times New Roman" w:hAnsi="MV Boli" w:cs="MV Boli"/>
            <w:color w:val="306AFD"/>
            <w:sz w:val="24"/>
            <w:szCs w:val="24"/>
            <w:lang w:eastAsia="ru-RU"/>
          </w:rPr>
          <w:t>«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Институт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стратегии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развития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образования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Российской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академии</w:t>
        </w:r>
        <w:r w:rsidRPr="00BD63E9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 xml:space="preserve"> </w:t>
        </w:r>
        <w:r w:rsidRPr="00BD63E9">
          <w:rPr>
            <w:rFonts w:ascii="Cambria" w:eastAsia="Times New Roman" w:hAnsi="Cambria" w:cs="Cambria"/>
            <w:color w:val="306AFD"/>
            <w:sz w:val="24"/>
            <w:szCs w:val="24"/>
            <w:lang w:eastAsia="ru-RU"/>
          </w:rPr>
          <w:t>образования</w:t>
        </w:r>
        <w:r w:rsidRPr="00BD63E9">
          <w:rPr>
            <w:rFonts w:ascii="MV Boli" w:eastAsia="Times New Roman" w:hAnsi="MV Boli" w:cs="MV Boli"/>
            <w:color w:val="306AFD"/>
            <w:sz w:val="24"/>
            <w:szCs w:val="24"/>
            <w:lang w:eastAsia="ru-RU"/>
          </w:rPr>
          <w:t>»</w:t>
        </w:r>
      </w:hyperlink>
    </w:p>
    <w:p w:rsidR="007E4E56" w:rsidRPr="00BD63E9" w:rsidRDefault="007E4E56" w:rsidP="00BD63E9">
      <w:pPr>
        <w:shd w:val="clear" w:color="auto" w:fill="FFFFFF"/>
        <w:spacing w:before="270" w:after="150" w:line="359" w:lineRule="atLeast"/>
        <w:jc w:val="both"/>
        <w:outlineLvl w:val="2"/>
        <w:rPr>
          <w:rFonts w:ascii="Cambria" w:eastAsia="Times New Roman" w:hAnsi="Cambria" w:cs="Cambria"/>
          <w:color w:val="0000FF"/>
          <w:sz w:val="24"/>
          <w:szCs w:val="24"/>
          <w:lang w:eastAsia="ru-RU"/>
        </w:rPr>
      </w:pPr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настоящее время разработаны Интернет-ресурсы, контент которых можно использовать для развития и оценки функциональной грамотности обучающихся: </w:t>
      </w:r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1. Электронный банк </w:t>
      </w:r>
      <w:proofErr w:type="spellStart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заданий:</w:t>
      </w:r>
      <w:hyperlink r:id="rId26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https</w:t>
        </w:r>
        <w:proofErr w:type="spellEnd"/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://fg.resh.edu.ru/.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Пошаговая инструкция, как получить доступ к электронному банку заданий, представлена в руководстве пользователя. Ознакомиться с руководством пользователя можно по ссылке </w:t>
      </w:r>
      <w:hyperlink r:id="rId27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https://resh.edu.ru/instruction.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2. Общероссийская оценка по модели PISA. </w:t>
      </w:r>
      <w:proofErr w:type="spellStart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Вебинар</w:t>
      </w:r>
      <w:proofErr w:type="spellEnd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для образовательных организаций (25.09.2020). Презентация платформы «Электронный банк тренировочных заданий по оценке функциональной грамотности» </w:t>
      </w:r>
      <w:hyperlink r:id="rId28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https://fioco.ru/vebinar-shkoly-ocenka-pisa.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 Открытые задания </w:t>
      </w:r>
      <w:hyperlink r:id="rId29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https://fioco.ru/примеры-задач-pisa.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 Примеры открытых заданий PISA по читательской, математической, естественнонаучной, финансовой грамотности и заданий по совместному решению задач </w:t>
      </w:r>
      <w:hyperlink r:id="rId30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http://center-imc.ru/wp-content/uploads/2020/02/10120.pdf.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5. Банк заданий для формирования и оценки функциональной грамотности обучающихся основной школы (5-9 классы). ФГБНУ Институт стратегии развития образования Российской академии образования </w:t>
      </w:r>
      <w:hyperlink r:id="rId31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http://skiv.instrao.ru/bank-zadaniy/.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6. Демонстрационные материалы для оценки функциональной грамотности учащихся 5 и 7 классов </w:t>
      </w:r>
      <w:hyperlink r:id="rId32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http://skiv.instrao.ru/support/demonstratsionnye-materialya/.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7. </w:t>
      </w:r>
      <w:proofErr w:type="spellStart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Вебинары</w:t>
      </w:r>
      <w:proofErr w:type="spellEnd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для учителей-предметников по функциональной грамотности </w:t>
      </w:r>
      <w:hyperlink r:id="rId33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https://prosv.ru/webinars.</w:t>
        </w:r>
      </w:hyperlink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8. </w:t>
      </w:r>
      <w:proofErr w:type="spellStart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Вебинары</w:t>
      </w:r>
      <w:proofErr w:type="spellEnd"/>
      <w:r w:rsidRPr="00BD63E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Академии «Просвещение» для педагогов по формированию функциональной грамотности обучающихся: </w:t>
      </w:r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Финансовая грамотность:</w:t>
      </w:r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BD63E9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Читательская: грамотность: </w:t>
      </w:r>
    </w:p>
    <w:p w:rsidR="003C70DD" w:rsidRPr="00BD63E9" w:rsidRDefault="003C70DD" w:rsidP="006F5C1F">
      <w:pPr>
        <w:shd w:val="clear" w:color="auto" w:fill="F9FDFF"/>
        <w:spacing w:after="100" w:afterAutospacing="1" w:line="240" w:lineRule="auto"/>
        <w:jc w:val="both"/>
        <w:outlineLvl w:val="2"/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</w:pP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Рекомендуемые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электронные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ресурсы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(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для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формирования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функциональной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 xml:space="preserve"> </w:t>
      </w:r>
      <w:r w:rsidRPr="00BD63E9">
        <w:rPr>
          <w:rFonts w:ascii="Cambria" w:eastAsia="Times New Roman" w:hAnsi="Cambria" w:cs="Cambria"/>
          <w:color w:val="212529"/>
          <w:sz w:val="27"/>
          <w:szCs w:val="27"/>
          <w:lang w:eastAsia="ru-RU"/>
        </w:rPr>
        <w:t>грамотности</w:t>
      </w:r>
      <w:r w:rsidRPr="00BD63E9">
        <w:rPr>
          <w:rFonts w:ascii="Scada" w:eastAsia="Times New Roman" w:hAnsi="Scada" w:cs="Times New Roman"/>
          <w:color w:val="212529"/>
          <w:sz w:val="27"/>
          <w:szCs w:val="27"/>
          <w:lang w:eastAsia="ru-RU"/>
        </w:rPr>
        <w:t>)</w:t>
      </w:r>
    </w:p>
    <w:p w:rsidR="003C70DD" w:rsidRPr="00BD63E9" w:rsidRDefault="003C70DD" w:rsidP="006F5C1F">
      <w:pPr>
        <w:numPr>
          <w:ilvl w:val="0"/>
          <w:numId w:val="1"/>
        </w:numPr>
        <w:shd w:val="clear" w:color="auto" w:fill="F9FD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4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ФГБНУ «Институт стратегии развития образования Российской Академии наук»</w:t>
        </w:r>
      </w:hyperlink>
    </w:p>
    <w:p w:rsidR="003C70DD" w:rsidRPr="00BD63E9" w:rsidRDefault="003C70DD" w:rsidP="006F5C1F">
      <w:pPr>
        <w:numPr>
          <w:ilvl w:val="0"/>
          <w:numId w:val="1"/>
        </w:numPr>
        <w:shd w:val="clear" w:color="auto" w:fill="F9FD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5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СИПКРО</w:t>
        </w:r>
      </w:hyperlink>
    </w:p>
    <w:p w:rsidR="003C70DD" w:rsidRPr="00BD63E9" w:rsidRDefault="003C70DD" w:rsidP="006F5C1F">
      <w:pPr>
        <w:numPr>
          <w:ilvl w:val="0"/>
          <w:numId w:val="1"/>
        </w:numPr>
        <w:shd w:val="clear" w:color="auto" w:fill="F9FD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6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Издательство «Просвещение»</w:t>
        </w:r>
      </w:hyperlink>
    </w:p>
    <w:p w:rsidR="003C70DD" w:rsidRPr="00BD63E9" w:rsidRDefault="003C70DD" w:rsidP="006F5C1F">
      <w:pPr>
        <w:numPr>
          <w:ilvl w:val="0"/>
          <w:numId w:val="1"/>
        </w:numPr>
        <w:shd w:val="clear" w:color="auto" w:fill="F9FD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7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Банк тестов</w:t>
        </w:r>
      </w:hyperlink>
    </w:p>
    <w:p w:rsidR="003C70DD" w:rsidRPr="00BD63E9" w:rsidRDefault="003C70DD" w:rsidP="006F5C1F">
      <w:pPr>
        <w:numPr>
          <w:ilvl w:val="0"/>
          <w:numId w:val="1"/>
        </w:numPr>
        <w:shd w:val="clear" w:color="auto" w:fill="F9FD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8" w:tgtFrame="_blank" w:history="1">
        <w:r w:rsidRPr="00BD63E9">
          <w:rPr>
            <w:rFonts w:ascii="Arial" w:eastAsia="Times New Roman" w:hAnsi="Arial" w:cs="Arial"/>
            <w:color w:val="00517C"/>
            <w:sz w:val="24"/>
            <w:szCs w:val="24"/>
            <w:lang w:eastAsia="ru-RU"/>
          </w:rPr>
          <w:t>Московский центр качества образования</w:t>
        </w:r>
      </w:hyperlink>
    </w:p>
    <w:p w:rsidR="00BD63E9" w:rsidRDefault="003C70DD" w:rsidP="006F5C1F">
      <w:pPr>
        <w:shd w:val="clear" w:color="auto" w:fill="F9FD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hyperlink r:id="rId39" w:tgtFrame="_blank" w:history="1">
        <w:r w:rsidRPr="00BD63E9">
          <w:rPr>
            <w:rFonts w:ascii="Arial" w:eastAsia="Times New Roman" w:hAnsi="Arial" w:cs="Arial"/>
            <w:color w:val="8BC34A"/>
            <w:sz w:val="24"/>
            <w:szCs w:val="24"/>
            <w:lang w:eastAsia="ru-RU"/>
          </w:rPr>
          <w:t>Марафон по функциональной грамотности. Яндекс-Учебник</w:t>
        </w:r>
      </w:hyperlink>
    </w:p>
    <w:p w:rsidR="003C70DD" w:rsidRDefault="003C70DD" w:rsidP="00BD63E9">
      <w:pPr>
        <w:shd w:val="clear" w:color="auto" w:fill="F9FD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3C70DD" w:rsidRDefault="003C70DD" w:rsidP="00BD63E9">
      <w:pPr>
        <w:shd w:val="clear" w:color="auto" w:fill="F9FD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3C70DD" w:rsidRDefault="003C70DD" w:rsidP="00BD63E9">
      <w:pPr>
        <w:shd w:val="clear" w:color="auto" w:fill="F9FD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3C70DD" w:rsidRDefault="003C70DD" w:rsidP="00BD63E9">
      <w:pPr>
        <w:shd w:val="clear" w:color="auto" w:fill="F9FD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7C057C" w:rsidRPr="00001576" w:rsidRDefault="007C057C" w:rsidP="00BD63E9">
      <w:pPr>
        <w:shd w:val="clear" w:color="auto" w:fill="FFFFFF"/>
        <w:spacing w:before="270" w:after="150" w:line="359" w:lineRule="atLeast"/>
        <w:jc w:val="both"/>
        <w:outlineLvl w:val="2"/>
        <w:rPr>
          <w:rFonts w:ascii="Cambria" w:eastAsia="Times New Roman" w:hAnsi="Cambria" w:cs="Cambria"/>
          <w:b/>
          <w:bCs/>
          <w:color w:val="273350"/>
          <w:sz w:val="21"/>
          <w:szCs w:val="21"/>
          <w:lang w:val="en-US" w:eastAsia="ru-RU"/>
        </w:rPr>
      </w:pPr>
    </w:p>
    <w:sectPr w:rsidR="007C057C" w:rsidRPr="00001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ad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D3490"/>
    <w:multiLevelType w:val="multilevel"/>
    <w:tmpl w:val="5902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934A80"/>
    <w:multiLevelType w:val="multilevel"/>
    <w:tmpl w:val="916A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E9"/>
    <w:rsid w:val="00001576"/>
    <w:rsid w:val="003C70DD"/>
    <w:rsid w:val="006F5C1F"/>
    <w:rsid w:val="007C057C"/>
    <w:rsid w:val="007E4E56"/>
    <w:rsid w:val="00943A69"/>
    <w:rsid w:val="00A056CD"/>
    <w:rsid w:val="00BD63E9"/>
    <w:rsid w:val="00D7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5152B"/>
  <w15:chartTrackingRefBased/>
  <w15:docId w15:val="{5A4BC524-3D79-4C08-8467-4CCE8570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63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63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3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63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D6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63E9"/>
    <w:rPr>
      <w:color w:val="0000FF"/>
      <w:u w:val="single"/>
    </w:rPr>
  </w:style>
  <w:style w:type="character" w:styleId="a5">
    <w:name w:val="Strong"/>
    <w:basedOn w:val="a0"/>
    <w:uiPriority w:val="22"/>
    <w:qFormat/>
    <w:rsid w:val="00BD63E9"/>
    <w:rPr>
      <w:b/>
      <w:bCs/>
    </w:rPr>
  </w:style>
  <w:style w:type="character" w:customStyle="1" w:styleId="day">
    <w:name w:val="day"/>
    <w:basedOn w:val="a0"/>
    <w:rsid w:val="00BD63E9"/>
  </w:style>
  <w:style w:type="character" w:customStyle="1" w:styleId="month">
    <w:name w:val="month"/>
    <w:basedOn w:val="a0"/>
    <w:rsid w:val="00BD63E9"/>
  </w:style>
  <w:style w:type="character" w:customStyle="1" w:styleId="week-time">
    <w:name w:val="week-time"/>
    <w:basedOn w:val="a0"/>
    <w:rsid w:val="00BD6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6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4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47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1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71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6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1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9976532">
                      <w:marLeft w:val="0"/>
                      <w:marRight w:val="0"/>
                      <w:marTop w:val="0"/>
                      <w:marBottom w:val="14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1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9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12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31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42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92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1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4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271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2511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534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35665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07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56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2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7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859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ola5bijsk-r22.gosweb.gosuslugi.ru/netcat_files/userfiles/Gramotnost/Finansovaya_gramotnost.pdf" TargetMode="External"/><Relationship Id="rId13" Type="http://schemas.openxmlformats.org/officeDocument/2006/relationships/hyperlink" Target="https://shkola5bijsk-r22.gosweb.gosuslugi.ru/netcat_files/userfiles/Gramotnost/Rekomendatsii_roditelyam_Kak_razvivat_funktsionalnuyu_gramotnost.pdf" TargetMode="External"/><Relationship Id="rId18" Type="http://schemas.openxmlformats.org/officeDocument/2006/relationships/hyperlink" Target="http://skiv.instrao.ru/support/demonstratsionnye-materialya/" TargetMode="External"/><Relationship Id="rId26" Type="http://schemas.openxmlformats.org/officeDocument/2006/relationships/hyperlink" Target="https://fg.resh.edu.ru/?redirectAfterLogin=%2Ffunctionalliteracy%2Fevents" TargetMode="External"/><Relationship Id="rId39" Type="http://schemas.openxmlformats.org/officeDocument/2006/relationships/hyperlink" Target="https://yandex.ru/promo/education/specpro/marathon2020/mai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enteroko.ru/pisa18/pisa2018.html" TargetMode="External"/><Relationship Id="rId34" Type="http://schemas.openxmlformats.org/officeDocument/2006/relationships/hyperlink" Target="http://skiv.instrao.ru/support/demonstratsionnye-materialya/chitatelskaya-gramotnost.php" TargetMode="External"/><Relationship Id="rId7" Type="http://schemas.openxmlformats.org/officeDocument/2006/relationships/hyperlink" Target="https://shkola5bijsk-r22.gosweb.gosuslugi.ru/netcat_files/userfiles/Gramotnost/matematicheskaya_gramotnost.pdf" TargetMode="External"/><Relationship Id="rId12" Type="http://schemas.openxmlformats.org/officeDocument/2006/relationships/hyperlink" Target="https://shkola5bijsk-r22.gosweb.gosuslugi.ru/netcat_files/userfiles/Gramotnost/pamyatka_dlya_roditeley_chto_nuzhno_znat_o_funktsionalnoy_gramotnosti.pdf" TargetMode="External"/><Relationship Id="rId17" Type="http://schemas.openxmlformats.org/officeDocument/2006/relationships/hyperlink" Target="https://shkola5bijsk-r22.gosweb.gosuslugi.ru/netcat_files/userfiles/Gramotnost/Rukovodstvo_pro_bulling_Uchitelya.pdf" TargetMode="External"/><Relationship Id="rId25" Type="http://schemas.openxmlformats.org/officeDocument/2006/relationships/hyperlink" Target="http://skiv.instrao.ru/bank-zadaniy/" TargetMode="External"/><Relationship Id="rId33" Type="http://schemas.openxmlformats.org/officeDocument/2006/relationships/hyperlink" Target="https://uchitel.club/events/vebinary/filter" TargetMode="External"/><Relationship Id="rId38" Type="http://schemas.openxmlformats.org/officeDocument/2006/relationships/hyperlink" Target="https://mcko.ru/articles/21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kola5bijsk-r22.gosweb.gosuslugi.ru/netcat_files/userfiles/Gramotnost/Rukovodstvo_pro_bulling_Roditeli.pdf" TargetMode="External"/><Relationship Id="rId20" Type="http://schemas.openxmlformats.org/officeDocument/2006/relationships/hyperlink" Target="https://fg.resh.edu.ru/?redirectAfterLogin=%2Ffunctionalliteracy%2Fevents" TargetMode="External"/><Relationship Id="rId29" Type="http://schemas.openxmlformats.org/officeDocument/2006/relationships/hyperlink" Target="https://fioco.ru/%D0%BF%D1%80%D0%B8%D0%BC%D0%B5%D1%80%D1%8B-%D0%B7%D0%B0%D0%B4%D0%B0%D1%87-pis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hkola5bijsk-r22.gosweb.gosuslugi.ru/netcat_files/userfiles/Gramotnost/Chitatelskaya_gramotnost.pdf" TargetMode="External"/><Relationship Id="rId11" Type="http://schemas.openxmlformats.org/officeDocument/2006/relationships/hyperlink" Target="https://shkola5bijsk-r22.gosweb.gosuslugi.ru/netcat_files/userfiles/Gramotnost/Materialy_dlya_uchaschihsya_i_roditeley_Chto_znachit_byt_gramotnym.pdf" TargetMode="External"/><Relationship Id="rId24" Type="http://schemas.openxmlformats.org/officeDocument/2006/relationships/hyperlink" Target="https://rosuchebnik.ru/material/laboratoriya-funktsionalnoy-gramotnosti/" TargetMode="External"/><Relationship Id="rId32" Type="http://schemas.openxmlformats.org/officeDocument/2006/relationships/hyperlink" Target="http://skiv.instrao.ru/support/demonstratsionnye-materialya/" TargetMode="External"/><Relationship Id="rId37" Type="http://schemas.openxmlformats.org/officeDocument/2006/relationships/hyperlink" Target="https://banktestov.ru/test/3674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shkola5bijsk-r22.gosweb.gosuslugi.ru/netcat_files/userfiles/Gramotnost/Rukovodstvo_pro_bulling_Podrostki.pdf" TargetMode="External"/><Relationship Id="rId23" Type="http://schemas.openxmlformats.org/officeDocument/2006/relationships/hyperlink" Target="https://prosv.ru/pages/pisa.html" TargetMode="External"/><Relationship Id="rId28" Type="http://schemas.openxmlformats.org/officeDocument/2006/relationships/hyperlink" Target="https://fioco.ru/vebinar-shkoly-ocenka-pisa" TargetMode="External"/><Relationship Id="rId36" Type="http://schemas.openxmlformats.org/officeDocument/2006/relationships/hyperlink" Target="https://media.prosv.ru/fg/" TargetMode="External"/><Relationship Id="rId10" Type="http://schemas.openxmlformats.org/officeDocument/2006/relationships/hyperlink" Target="https://shkola5bijsk-r22.gosweb.gosuslugi.ru/netcat_files/userfiles/Gramotnost/Globalnye_kompetentsii.pdf" TargetMode="External"/><Relationship Id="rId19" Type="http://schemas.openxmlformats.org/officeDocument/2006/relationships/hyperlink" Target="https://yandex.ru/promo/education/specpro/fungram" TargetMode="External"/><Relationship Id="rId31" Type="http://schemas.openxmlformats.org/officeDocument/2006/relationships/hyperlink" Target="http://skiv.instrao.ru/bank-zadani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kola5bijsk-r22.gosweb.gosuslugi.ru/netcat_files/userfiles/Gramotnost/Estestvenno-nauchnaya_gramotnost.pdf" TargetMode="External"/><Relationship Id="rId14" Type="http://schemas.openxmlformats.org/officeDocument/2006/relationships/hyperlink" Target="https://shkola5bijsk-r22.gosweb.gosuslugi.ru/netcat_files/userfiles/Gramotnost/pamyatka_po_bullingu_travle.pdf" TargetMode="External"/><Relationship Id="rId22" Type="http://schemas.openxmlformats.org/officeDocument/2006/relationships/hyperlink" Target="http://www.centeroko.ru/projects.html" TargetMode="External"/><Relationship Id="rId27" Type="http://schemas.openxmlformats.org/officeDocument/2006/relationships/hyperlink" Target="https://resh.edu.ru/instruction" TargetMode="External"/><Relationship Id="rId30" Type="http://schemas.openxmlformats.org/officeDocument/2006/relationships/hyperlink" Target="http://center-imc.ru/wp-content/uploads/2020/02/10120.pdf" TargetMode="External"/><Relationship Id="rId35" Type="http://schemas.openxmlformats.org/officeDocument/2006/relationships/hyperlink" Target="http://old.sipkro.ru/index.php/86-%D0%BF%D0%BE%D0%B4%D1%80%D0%B0%D0%B7%D0%B4%D0%B5%D0%BB%D0%B5%D0%BD%D0%B8%D1%8F/1381-f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1438</Words>
  <Characters>8200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        /</vt:lpstr>
      <vt:lpstr>        Что необходимо знать каждому  о функциональной грамотности</vt:lpstr>
      <vt:lpstr>        Функциональная грамотность – это способность человека использовать приобретаемые</vt:lpstr>
      <vt:lpstr>        6. Глобальные компетенции</vt:lpstr>
      <vt:lpstr>        Памятки и пособия для учащихся и родителей</vt:lpstr>
      <vt:lpstr>        Полезные ссылки</vt:lpstr>
      <vt:lpstr>        </vt:lpstr>
      <vt:lpstr>        Рекомендуемые электронные ресурсы (для формирования функциональной грамотности)</vt:lpstr>
      <vt:lpstr>        </vt:lpstr>
      <vt:lpstr>        Документы</vt:lpstr>
      <vt:lpstr>        Что необходимо знать каждому учителю о функциональной грамотности</vt:lpstr>
      <vt:lpstr>        Памятки и пособия для учащихся и родителей</vt:lpstr>
      <vt:lpstr>        Полезные ссылки</vt:lpstr>
      <vt:lpstr>    Мероприятия</vt:lpstr>
      <vt:lpstr>    Методический семинар по теме «Функциональная грамотность и ее компоненты».</vt:lpstr>
      <vt:lpstr>    Семинар-практикум «Формирование и развитие функциональной грамотности в контекст</vt:lpstr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2022-10-15T09:13:00Z</dcterms:created>
  <dcterms:modified xsi:type="dcterms:W3CDTF">2022-10-17T07:23:00Z</dcterms:modified>
</cp:coreProperties>
</file>